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76C3DCB" w14:textId="1270C5B2" w:rsidR="0058206D" w:rsidRPr="00B35826" w:rsidRDefault="00CA7C09" w:rsidP="00B35826">
      <w:pPr>
        <w:spacing w:after="200" w:line="360" w:lineRule="auto"/>
        <w:ind w:left="-283" w:right="-227"/>
        <w:jc w:val="center"/>
        <w:rPr>
          <w:rFonts w:ascii="Arial" w:eastAsia="Calibri" w:hAnsi="Arial" w:cs="Arial"/>
          <w:sz w:val="22"/>
          <w:szCs w:val="22"/>
        </w:rPr>
      </w:pPr>
      <w:r w:rsidRPr="00B35826">
        <w:rPr>
          <w:rFonts w:ascii="Arial" w:hAnsi="Arial" w:cs="Arial"/>
          <w:b/>
          <w:bCs/>
          <w:sz w:val="22"/>
          <w:szCs w:val="22"/>
          <w:lang w:eastAsia="pt-BR"/>
        </w:rPr>
        <w:t xml:space="preserve">Reunião Extraordinária do </w:t>
      </w:r>
      <w:r w:rsidRPr="00B35826">
        <w:rPr>
          <w:rFonts w:ascii="Arial" w:hAnsi="Arial" w:cs="Arial"/>
          <w:b/>
          <w:bCs/>
          <w:iCs/>
          <w:sz w:val="22"/>
          <w:szCs w:val="22"/>
          <w:lang w:eastAsia="pt-BR"/>
        </w:rPr>
        <w:t xml:space="preserve">Conselho Municipal de Defesa do Patrimônio </w:t>
      </w:r>
      <w:r w:rsidRPr="00B35826">
        <w:rPr>
          <w:rFonts w:ascii="Arial" w:hAnsi="Arial" w:cs="Arial"/>
          <w:b/>
          <w:bCs/>
          <w:sz w:val="22"/>
          <w:szCs w:val="22"/>
          <w:lang w:eastAsia="pt-BR"/>
        </w:rPr>
        <w:t xml:space="preserve">Histórico, Artístico, Arquitetônico, Turístico e Paisagístico de </w:t>
      </w:r>
      <w:r w:rsidRPr="00B35826">
        <w:rPr>
          <w:rFonts w:ascii="Arial" w:hAnsi="Arial" w:cs="Arial"/>
          <w:b/>
          <w:bCs/>
          <w:iCs/>
          <w:sz w:val="22"/>
          <w:szCs w:val="22"/>
          <w:lang w:eastAsia="pt-BR"/>
        </w:rPr>
        <w:t xml:space="preserve">Sorocaba </w:t>
      </w:r>
      <w:r w:rsidRPr="00B35826">
        <w:rPr>
          <w:rFonts w:ascii="Arial" w:hAnsi="Arial" w:cs="Arial"/>
          <w:b/>
          <w:bCs/>
          <w:sz w:val="22"/>
          <w:szCs w:val="22"/>
          <w:lang w:eastAsia="pt-BR"/>
        </w:rPr>
        <w:t>(CMDP)</w:t>
      </w:r>
    </w:p>
    <w:p w14:paraId="6E8B8669" w14:textId="3C92C404" w:rsidR="0058206D" w:rsidRPr="0025290B" w:rsidRDefault="00396E61" w:rsidP="00396E61">
      <w:pPr>
        <w:suppressAutoHyphens w:val="0"/>
        <w:spacing w:after="200" w:line="360" w:lineRule="auto"/>
        <w:jc w:val="both"/>
        <w:rPr>
          <w:rFonts w:ascii="Arial" w:eastAsia="Calibri" w:hAnsi="Arial" w:cs="Arial"/>
          <w:color w:val="auto"/>
          <w:kern w:val="1"/>
          <w:sz w:val="22"/>
          <w:szCs w:val="22"/>
        </w:rPr>
      </w:pP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>Aos vinte e dois dias do mês de fevereiro do ano de 2021, às nove horas</w:t>
      </w:r>
      <w:r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e trinta minutos</w:t>
      </w:r>
      <w:r w:rsidR="00CA7C09" w:rsidRPr="00B35826">
        <w:rPr>
          <w:rFonts w:ascii="Arial" w:hAnsi="Arial" w:cs="Arial"/>
          <w:sz w:val="22"/>
          <w:szCs w:val="22"/>
          <w:lang w:eastAsia="pt-BR" w:bidi="hi-IN"/>
        </w:rPr>
        <w:t>, foi realizada n</w:t>
      </w:r>
      <w:r w:rsidR="00323EA3">
        <w:rPr>
          <w:rFonts w:ascii="Arial" w:hAnsi="Arial" w:cs="Arial"/>
          <w:sz w:val="22"/>
          <w:szCs w:val="22"/>
          <w:lang w:eastAsia="pt-BR" w:bidi="hi-IN"/>
        </w:rPr>
        <w:t>a Pinacoteca Municipal de Sorocaba</w:t>
      </w:r>
      <w:r w:rsidR="00CA7C09" w:rsidRPr="00B35826">
        <w:rPr>
          <w:rFonts w:ascii="Arial" w:hAnsi="Arial" w:cs="Arial"/>
          <w:sz w:val="22"/>
          <w:szCs w:val="22"/>
          <w:lang w:eastAsia="pt-BR" w:bidi="hi-IN"/>
        </w:rPr>
        <w:t xml:space="preserve">, sita </w:t>
      </w:r>
      <w:r w:rsidR="00323EA3">
        <w:rPr>
          <w:rFonts w:ascii="Arial" w:hAnsi="Arial" w:cs="Arial"/>
          <w:sz w:val="22"/>
          <w:szCs w:val="22"/>
          <w:lang w:eastAsia="pt-BR" w:bidi="hi-IN"/>
        </w:rPr>
        <w:t>à Avenida Afonso Vergueiro, s/n</w:t>
      </w:r>
      <w:r w:rsidR="00CA7C09" w:rsidRPr="00B35826">
        <w:rPr>
          <w:rFonts w:ascii="Arial" w:hAnsi="Arial" w:cs="Arial"/>
          <w:sz w:val="22"/>
          <w:szCs w:val="22"/>
          <w:lang w:eastAsia="pt-BR" w:bidi="hi-IN"/>
        </w:rPr>
        <w:t xml:space="preserve">, </w:t>
      </w:r>
      <w:r w:rsidR="00323EA3" w:rsidRPr="0025290B">
        <w:rPr>
          <w:rFonts w:ascii="Arial" w:hAnsi="Arial" w:cs="Arial"/>
          <w:color w:val="auto"/>
          <w:sz w:val="22"/>
          <w:szCs w:val="22"/>
          <w:lang w:eastAsia="pt-BR" w:bidi="hi-IN"/>
        </w:rPr>
        <w:t>Centro</w:t>
      </w:r>
      <w:r w:rsidR="00CA7C09" w:rsidRPr="0025290B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– Sorocaba-SP, a reunião extraordinária do </w:t>
      </w:r>
      <w:r w:rsidR="00CA7C09" w:rsidRPr="0025290B">
        <w:rPr>
          <w:rFonts w:ascii="Arial" w:hAnsi="Arial" w:cs="Arial"/>
          <w:iCs/>
          <w:color w:val="auto"/>
          <w:sz w:val="22"/>
          <w:szCs w:val="22"/>
          <w:lang w:eastAsia="pt-BR" w:bidi="hi-IN"/>
        </w:rPr>
        <w:t xml:space="preserve">Conselho Municipal de Defesa do Patrimônio </w:t>
      </w:r>
      <w:r w:rsidR="00CA7C09" w:rsidRPr="0025290B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Histórico, Artístico, Arquitetônico, Turístico e Paisagístico de </w:t>
      </w:r>
      <w:r w:rsidR="00CA7C09" w:rsidRPr="0025290B">
        <w:rPr>
          <w:rFonts w:ascii="Arial" w:hAnsi="Arial" w:cs="Arial"/>
          <w:iCs/>
          <w:color w:val="auto"/>
          <w:sz w:val="22"/>
          <w:szCs w:val="22"/>
          <w:lang w:eastAsia="pt-BR" w:bidi="hi-IN"/>
        </w:rPr>
        <w:t xml:space="preserve">Sorocaba </w:t>
      </w:r>
      <w:r w:rsidR="00CA7C09" w:rsidRPr="0025290B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(CMDP). </w:t>
      </w:r>
      <w:r w:rsidR="00323EA3" w:rsidRPr="0025290B">
        <w:rPr>
          <w:rFonts w:ascii="Arial" w:hAnsi="Arial" w:cs="Arial"/>
          <w:color w:val="auto"/>
          <w:sz w:val="22"/>
          <w:szCs w:val="22"/>
          <w:lang w:eastAsia="pt-BR" w:bidi="hi-IN"/>
        </w:rPr>
        <w:t>Da reunião participaram os conse</w:t>
      </w:r>
      <w:r w:rsidR="00756516" w:rsidRPr="0025290B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lheiros (as): Alberto Streb, André Mascarenhas, Maíra B. Sfeir, Daniella Gomes Moreira, </w:t>
      </w:r>
      <w:r w:rsidR="00323EA3" w:rsidRPr="0025290B">
        <w:rPr>
          <w:rFonts w:ascii="Arial" w:hAnsi="Arial" w:cs="Arial"/>
          <w:color w:val="auto"/>
          <w:sz w:val="22"/>
          <w:szCs w:val="22"/>
          <w:lang w:eastAsia="pt-BR" w:bidi="hi-IN"/>
        </w:rPr>
        <w:t>Padre Tadeu Rosa Moraes</w:t>
      </w:r>
      <w:r w:rsidR="00122B07" w:rsidRPr="0025290B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, </w:t>
      </w:r>
      <w:r w:rsidR="00756516" w:rsidRPr="0025290B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Michele </w:t>
      </w:r>
      <w:proofErr w:type="spellStart"/>
      <w:r w:rsidR="00756516" w:rsidRPr="0025290B">
        <w:rPr>
          <w:rFonts w:ascii="Arial" w:hAnsi="Arial" w:cs="Arial"/>
          <w:color w:val="auto"/>
          <w:sz w:val="22"/>
          <w:szCs w:val="22"/>
          <w:lang w:eastAsia="pt-BR" w:bidi="hi-IN"/>
        </w:rPr>
        <w:t>Bossolan</w:t>
      </w:r>
      <w:proofErr w:type="spellEnd"/>
      <w:r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, Mário Alves Rosa, Samuel Carlos Flora, a visitante Larissa G. </w:t>
      </w:r>
      <w:proofErr w:type="spellStart"/>
      <w:r>
        <w:rPr>
          <w:rFonts w:ascii="Arial" w:hAnsi="Arial" w:cs="Arial"/>
          <w:color w:val="auto"/>
          <w:sz w:val="22"/>
          <w:szCs w:val="22"/>
          <w:lang w:eastAsia="pt-BR" w:bidi="hi-IN"/>
        </w:rPr>
        <w:t>Losada</w:t>
      </w:r>
      <w:proofErr w:type="spellEnd"/>
      <w:r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, e a servidora da </w:t>
      </w:r>
      <w:proofErr w:type="spellStart"/>
      <w:r>
        <w:rPr>
          <w:rFonts w:ascii="Arial" w:hAnsi="Arial" w:cs="Arial"/>
          <w:color w:val="auto"/>
          <w:sz w:val="22"/>
          <w:szCs w:val="22"/>
          <w:lang w:eastAsia="pt-BR" w:bidi="hi-IN"/>
        </w:rPr>
        <w:t>Secult</w:t>
      </w:r>
      <w:proofErr w:type="spellEnd"/>
      <w:r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Tamires Rodrigues, </w:t>
      </w: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>Chefe da Seção de Acervo Histórico, com a finalidade de tratar acerca da questão referente à interdição do Museu Histórico Sorocabano (MHS).</w:t>
      </w:r>
      <w:r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</w:t>
      </w: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>André inicia a reunião explicando que a SECULT recebeu um parecer técnico da Secretaria de Planejamento (SEPLAN), conforme processo nº 41.642/2019, solicitando a interdição urgente do anexo do MHS devido ao risco de queda e incêndio e indicando a demolição urgente do próprio, posicionamento que fora corroborado pela Defesa Civil</w:t>
      </w:r>
      <w:r>
        <w:rPr>
          <w:rFonts w:ascii="Arial" w:hAnsi="Arial" w:cs="Arial"/>
          <w:color w:val="auto"/>
          <w:sz w:val="22"/>
          <w:szCs w:val="22"/>
          <w:lang w:eastAsia="pt-BR" w:bidi="hi-IN"/>
        </w:rPr>
        <w:t>, conforme visita técnica realizada em 19/02/2021</w:t>
      </w: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>. André explica que o próprio foi interditado e que, até sua demolição, a intenção é interditar também o MHS, pois há risco de queda sobre o mesmo. Os conselheiros analisam o processo da interdição, bem como o processo de tombamento do MHS (nº 4.784/2000) e o decreto relacionado ao tombamento da Chácara Quinzinho de Barros (nº 19.230/2011) que determina</w:t>
      </w:r>
      <w:r>
        <w:rPr>
          <w:rFonts w:ascii="Arial" w:hAnsi="Arial" w:cs="Arial"/>
          <w:color w:val="auto"/>
          <w:sz w:val="22"/>
          <w:szCs w:val="22"/>
          <w:lang w:eastAsia="pt-BR" w:bidi="hi-IN"/>
        </w:rPr>
        <w:t>,</w:t>
      </w: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em seu Art. 1º</w:t>
      </w:r>
      <w:r>
        <w:rPr>
          <w:rFonts w:ascii="Arial" w:hAnsi="Arial" w:cs="Arial"/>
          <w:color w:val="auto"/>
          <w:sz w:val="22"/>
          <w:szCs w:val="22"/>
          <w:lang w:eastAsia="pt-BR" w:bidi="hi-IN"/>
        </w:rPr>
        <w:t>, que</w:t>
      </w: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>: “</w:t>
      </w:r>
      <w:r w:rsidRPr="00F12050">
        <w:rPr>
          <w:rFonts w:ascii="Arial" w:hAnsi="Arial" w:cs="Arial"/>
          <w:i/>
          <w:color w:val="auto"/>
          <w:sz w:val="22"/>
          <w:szCs w:val="22"/>
          <w:lang w:eastAsia="pt-BR" w:bidi="hi-IN"/>
        </w:rPr>
        <w:t>Fica tombado, em caráter definitivo, com preservação GP1, o prédio da Chácara Quinzinho, sede do Museu Histórico Sorocabano</w:t>
      </w: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>”, estando a área envoltória definida no Art. 2º da seguinte forma: “</w:t>
      </w:r>
      <w:r w:rsidRPr="00F12050">
        <w:rPr>
          <w:rFonts w:ascii="Arial" w:hAnsi="Arial" w:cs="Arial"/>
          <w:i/>
          <w:color w:val="auto"/>
          <w:sz w:val="22"/>
          <w:szCs w:val="22"/>
          <w:lang w:eastAsia="pt-BR" w:bidi="hi-IN"/>
        </w:rPr>
        <w:t xml:space="preserve">Fica considerada como área envoltória, a área ocupada pelo Museu, delimitada por grade em </w:t>
      </w:r>
      <w:proofErr w:type="spellStart"/>
      <w:r w:rsidRPr="00F12050">
        <w:rPr>
          <w:rFonts w:ascii="Arial" w:hAnsi="Arial" w:cs="Arial"/>
          <w:i/>
          <w:color w:val="auto"/>
          <w:sz w:val="22"/>
          <w:szCs w:val="22"/>
          <w:lang w:eastAsia="pt-BR" w:bidi="hi-IN"/>
        </w:rPr>
        <w:t>aerofoto</w:t>
      </w:r>
      <w:proofErr w:type="spellEnd"/>
      <w:r w:rsidRPr="00F12050">
        <w:rPr>
          <w:rFonts w:ascii="Arial" w:hAnsi="Arial" w:cs="Arial"/>
          <w:i/>
          <w:color w:val="auto"/>
          <w:sz w:val="22"/>
          <w:szCs w:val="22"/>
          <w:lang w:eastAsia="pt-BR" w:bidi="hi-IN"/>
        </w:rPr>
        <w:t xml:space="preserve"> na escala 1:2000, integrante da Resolução nº 260 do Conselho Municipal de Defesa do Patrimônio Histórico, Artístico, Arquitetônico, Turístico e Paisagístico de Sorocaba (CMDP), de 29 de Abril de 2009</w:t>
      </w: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>”.</w:t>
      </w:r>
      <w:r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</w:t>
      </w:r>
      <w:proofErr w:type="spellStart"/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>Streb</w:t>
      </w:r>
      <w:proofErr w:type="spellEnd"/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coloca </w:t>
      </w: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que, se a casa está condenada pela Defesa Civil, conforme laudo emitido durante visita técnica realizada em dezenove de fevereiro de dois mil e vinte um, o CMDP poderia elaborar uma resolução autorizando a demolição, considerando que a área envoltória do bem tombado (sede do Museu), diferente do </w:t>
      </w:r>
      <w:r>
        <w:rPr>
          <w:rFonts w:ascii="Arial" w:hAnsi="Arial" w:cs="Arial"/>
          <w:color w:val="auto"/>
          <w:sz w:val="22"/>
          <w:szCs w:val="22"/>
          <w:lang w:eastAsia="pt-BR" w:bidi="hi-IN"/>
        </w:rPr>
        <w:t>casarão sede do museu</w:t>
      </w: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, não é tombada. </w:t>
      </w:r>
      <w:proofErr w:type="spellStart"/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>Streb</w:t>
      </w:r>
      <w:proofErr w:type="spellEnd"/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lembra que o Conselho de Defesa do Patrimônio Histórico, Arqueológico, Artístico e Turístico da Secretaria da Cultura do Estado de São Paulo (CONDEPHAAT) decidiu arquivar o processo de tombamento</w:t>
      </w:r>
      <w:r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sobre o local</w:t>
      </w: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(aberto pelo próprio CONDEPHAAT), significando dessa forma que o local não é tombado pelo órgão. Em relação ao acervo </w:t>
      </w:r>
      <w:r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ainda constante </w:t>
      </w: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do local, Daniella explica que será retirado o acervo de tecelagem, ao que </w:t>
      </w:r>
      <w:proofErr w:type="spellStart"/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lastRenderedPageBreak/>
        <w:t>Streb</w:t>
      </w:r>
      <w:proofErr w:type="spellEnd"/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sugere, por sua vez, o seu uso como parte do futuro “Museu da Tecelagem”. Os conselheiros concordam sobre a elaboração da Resolução, concluindo que, além do anexo não ser tombado e o risco de queda (inclusive na área do Museu), não existe interesse histórico e arquitetônico no anexo. André explica que elaborará a ata de reunião e a Resolução</w:t>
      </w:r>
      <w:r w:rsidR="0016543D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e</w:t>
      </w: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inserir</w:t>
      </w:r>
      <w:r>
        <w:rPr>
          <w:rFonts w:ascii="Arial" w:hAnsi="Arial" w:cs="Arial"/>
          <w:color w:val="auto"/>
          <w:sz w:val="22"/>
          <w:szCs w:val="22"/>
          <w:lang w:eastAsia="pt-BR" w:bidi="hi-IN"/>
        </w:rPr>
        <w:t>á</w:t>
      </w: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cópias </w:t>
      </w:r>
      <w:r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desses documentos </w:t>
      </w:r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>nos processos</w:t>
      </w:r>
      <w:bookmarkStart w:id="0" w:name="_GoBack"/>
      <w:bookmarkEnd w:id="0"/>
      <w:r w:rsidRPr="00396E61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para instruí-los</w:t>
      </w:r>
      <w:r w:rsidR="00FD00E4" w:rsidRPr="0025290B">
        <w:rPr>
          <w:rFonts w:ascii="Arial" w:hAnsi="Arial"/>
          <w:color w:val="auto"/>
          <w:sz w:val="22"/>
          <w:szCs w:val="22"/>
        </w:rPr>
        <w:t>.</w:t>
      </w:r>
      <w:r w:rsidR="002174F3" w:rsidRPr="0025290B">
        <w:rPr>
          <w:rFonts w:ascii="Arial" w:hAnsi="Arial"/>
          <w:color w:val="auto"/>
          <w:sz w:val="22"/>
          <w:szCs w:val="22"/>
        </w:rPr>
        <w:t xml:space="preserve"> </w:t>
      </w:r>
      <w:r w:rsidR="00CA7C09" w:rsidRPr="0025290B">
        <w:rPr>
          <w:rFonts w:ascii="Arial" w:hAnsi="Arial" w:cs="Arial"/>
          <w:color w:val="auto"/>
          <w:sz w:val="22"/>
          <w:szCs w:val="22"/>
          <w:lang w:eastAsia="pt-BR" w:bidi="hi-IN"/>
        </w:rPr>
        <w:t>D</w:t>
      </w:r>
      <w:r w:rsidR="00CA7C09" w:rsidRPr="0025290B">
        <w:rPr>
          <w:rFonts w:ascii="Arial" w:hAnsi="Arial" w:cs="Arial"/>
          <w:color w:val="auto"/>
          <w:sz w:val="22"/>
          <w:szCs w:val="22"/>
          <w:highlight w:val="white"/>
          <w:lang w:eastAsia="pt-BR" w:bidi="hi-IN"/>
        </w:rPr>
        <w:t>essa forma, Aberto Streb dá como encerrada a reunião extraordinária e,</w:t>
      </w:r>
      <w:r w:rsidR="00CA7C09" w:rsidRPr="0025290B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não havendo mais nada a tratar eu, André Mascarenhas, lavro a presente ata, que depois de lida e aprovada, </w:t>
      </w:r>
      <w:r w:rsidR="002174F3" w:rsidRPr="0025290B">
        <w:rPr>
          <w:rFonts w:ascii="Arial" w:hAnsi="Arial" w:cs="Arial"/>
          <w:color w:val="auto"/>
          <w:sz w:val="22"/>
          <w:szCs w:val="22"/>
          <w:lang w:eastAsia="pt-BR" w:bidi="hi-IN"/>
        </w:rPr>
        <w:t>será</w:t>
      </w:r>
      <w:r w:rsidR="00CA7C09" w:rsidRPr="0025290B">
        <w:rPr>
          <w:rFonts w:ascii="Arial" w:hAnsi="Arial" w:cs="Arial"/>
          <w:color w:val="auto"/>
          <w:sz w:val="22"/>
          <w:szCs w:val="22"/>
          <w:lang w:eastAsia="pt-BR" w:bidi="hi-IN"/>
        </w:rPr>
        <w:t xml:space="preserve"> assinada por quem de direito.</w:t>
      </w:r>
    </w:p>
    <w:p w14:paraId="79B05909" w14:textId="77777777" w:rsidR="0058206D" w:rsidRPr="00601E2A" w:rsidRDefault="0058206D" w:rsidP="00B35826">
      <w:pPr>
        <w:widowControl w:val="0"/>
        <w:spacing w:line="360" w:lineRule="auto"/>
        <w:ind w:left="-170" w:right="-170"/>
        <w:jc w:val="both"/>
        <w:rPr>
          <w:rFonts w:ascii="Arial" w:hAnsi="Arial" w:cs="Arial"/>
          <w:sz w:val="22"/>
          <w:szCs w:val="22"/>
          <w:lang w:eastAsia="pt-BR" w:bidi="hi-IN"/>
        </w:rPr>
      </w:pPr>
    </w:p>
    <w:p w14:paraId="33B93516" w14:textId="77777777" w:rsidR="0058206D" w:rsidRPr="00601E2A" w:rsidRDefault="0058206D">
      <w:pPr>
        <w:spacing w:before="57" w:after="200" w:line="360" w:lineRule="auto"/>
        <w:ind w:left="-283" w:right="-227"/>
        <w:jc w:val="both"/>
        <w:rPr>
          <w:rFonts w:ascii="Arial" w:hAnsi="Arial" w:cs="Arial"/>
          <w:sz w:val="22"/>
          <w:szCs w:val="22"/>
          <w:lang w:eastAsia="pt-BR"/>
        </w:rPr>
      </w:pPr>
    </w:p>
    <w:p w14:paraId="63365871" w14:textId="2E2A8018" w:rsidR="0058206D" w:rsidRPr="00601E2A" w:rsidRDefault="00CA7C09">
      <w:pPr>
        <w:ind w:left="-284" w:right="-227"/>
        <w:jc w:val="center"/>
        <w:rPr>
          <w:rFonts w:ascii="Arial" w:hAnsi="Arial" w:cs="Arial"/>
          <w:sz w:val="22"/>
          <w:szCs w:val="22"/>
          <w:lang w:eastAsia="pt-BR"/>
        </w:rPr>
      </w:pPr>
      <w:r w:rsidRPr="00601E2A">
        <w:rPr>
          <w:rFonts w:ascii="Arial" w:hAnsi="Arial" w:cs="Arial"/>
          <w:sz w:val="22"/>
          <w:szCs w:val="22"/>
          <w:lang w:eastAsia="pt-BR"/>
        </w:rPr>
        <w:br/>
        <w:t>Arq. Alberto Streb</w:t>
      </w:r>
      <w:r w:rsidRPr="00601E2A">
        <w:rPr>
          <w:rFonts w:ascii="Arial" w:hAnsi="Arial" w:cs="Arial"/>
          <w:sz w:val="22"/>
          <w:szCs w:val="22"/>
          <w:lang w:eastAsia="pt-BR"/>
        </w:rPr>
        <w:tab/>
      </w:r>
      <w:r w:rsidRPr="00601E2A">
        <w:rPr>
          <w:rFonts w:ascii="Arial" w:hAnsi="Arial" w:cs="Arial"/>
          <w:sz w:val="22"/>
          <w:szCs w:val="22"/>
          <w:lang w:eastAsia="pt-BR"/>
        </w:rPr>
        <w:tab/>
      </w:r>
      <w:r w:rsidRPr="00601E2A">
        <w:rPr>
          <w:rFonts w:ascii="Arial" w:hAnsi="Arial" w:cs="Arial"/>
          <w:sz w:val="22"/>
          <w:szCs w:val="22"/>
          <w:lang w:eastAsia="pt-BR"/>
        </w:rPr>
        <w:tab/>
      </w:r>
      <w:r w:rsidRPr="00601E2A">
        <w:rPr>
          <w:rFonts w:ascii="Arial" w:hAnsi="Arial" w:cs="Arial"/>
          <w:sz w:val="22"/>
          <w:szCs w:val="22"/>
          <w:lang w:eastAsia="pt-BR"/>
        </w:rPr>
        <w:tab/>
      </w:r>
      <w:r w:rsidRPr="00601E2A">
        <w:rPr>
          <w:rFonts w:ascii="Arial" w:hAnsi="Arial" w:cs="Arial"/>
          <w:sz w:val="22"/>
          <w:szCs w:val="22"/>
          <w:lang w:eastAsia="pt-BR"/>
        </w:rPr>
        <w:tab/>
        <w:t>André Mascarenhas</w:t>
      </w:r>
    </w:p>
    <w:p w14:paraId="3A9F04A8" w14:textId="528BF694" w:rsidR="00601E2A" w:rsidRDefault="00601E2A" w:rsidP="00601E2A">
      <w:pPr>
        <w:spacing w:before="57"/>
        <w:ind w:left="-283" w:right="-227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                 Presidente do CMDP</w:t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 xml:space="preserve">                  </w:t>
      </w:r>
      <w:r w:rsidR="0025290B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 Secretário do CMDP</w:t>
      </w:r>
    </w:p>
    <w:p w14:paraId="02831349" w14:textId="77777777" w:rsidR="00601E2A" w:rsidRDefault="00601E2A" w:rsidP="00601E2A">
      <w:pPr>
        <w:spacing w:before="57"/>
        <w:ind w:left="-283" w:right="-227" w:firstLine="283"/>
      </w:pPr>
    </w:p>
    <w:p w14:paraId="1292201C" w14:textId="798799E7" w:rsidR="0058206D" w:rsidRPr="00601E2A" w:rsidRDefault="0058206D" w:rsidP="002174F3">
      <w:pPr>
        <w:spacing w:before="57"/>
        <w:ind w:left="-283" w:right="-227"/>
        <w:rPr>
          <w:rFonts w:ascii="Arial" w:hAnsi="Arial" w:cs="Arial"/>
          <w:sz w:val="22"/>
          <w:szCs w:val="22"/>
        </w:rPr>
      </w:pPr>
    </w:p>
    <w:p w14:paraId="32148664" w14:textId="77777777" w:rsidR="00B35826" w:rsidRPr="00601E2A" w:rsidRDefault="00B35826">
      <w:pPr>
        <w:spacing w:before="57"/>
        <w:ind w:left="-283" w:right="-227" w:firstLine="283"/>
        <w:rPr>
          <w:rFonts w:ascii="Arial" w:hAnsi="Arial" w:cs="Arial"/>
          <w:sz w:val="22"/>
          <w:szCs w:val="22"/>
        </w:rPr>
      </w:pPr>
    </w:p>
    <w:sectPr w:rsidR="00B35826" w:rsidRPr="00601E2A">
      <w:headerReference w:type="default" r:id="rId6"/>
      <w:footerReference w:type="default" r:id="rId7"/>
      <w:pgSz w:w="12240" w:h="15840"/>
      <w:pgMar w:top="1417" w:right="1325" w:bottom="777" w:left="1418" w:header="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3ECCF" w14:textId="77777777" w:rsidR="008C62CB" w:rsidRDefault="008C62CB">
      <w:r>
        <w:separator/>
      </w:r>
    </w:p>
  </w:endnote>
  <w:endnote w:type="continuationSeparator" w:id="0">
    <w:p w14:paraId="143AB742" w14:textId="77777777" w:rsidR="008C62CB" w:rsidRDefault="008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2F2B5" w14:textId="77777777" w:rsidR="0058206D" w:rsidRDefault="0058206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6E19F" w14:textId="77777777" w:rsidR="008C62CB" w:rsidRDefault="008C62CB">
      <w:r>
        <w:separator/>
      </w:r>
    </w:p>
  </w:footnote>
  <w:footnote w:type="continuationSeparator" w:id="0">
    <w:p w14:paraId="674B0B6C" w14:textId="77777777" w:rsidR="008C62CB" w:rsidRDefault="008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E8A77" w14:textId="77777777" w:rsidR="0058206D" w:rsidRDefault="00CA7C0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5" behindDoc="1" locked="0" layoutInCell="1" allowOverlap="1" wp14:anchorId="7D8557D2" wp14:editId="7F8709E6">
          <wp:simplePos x="0" y="0"/>
          <wp:positionH relativeFrom="column">
            <wp:posOffset>-57785</wp:posOffset>
          </wp:positionH>
          <wp:positionV relativeFrom="paragraph">
            <wp:posOffset>543560</wp:posOffset>
          </wp:positionV>
          <wp:extent cx="6131560" cy="107188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31560" cy="1071880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6D"/>
    <w:rsid w:val="000728A3"/>
    <w:rsid w:val="00122B07"/>
    <w:rsid w:val="0016543D"/>
    <w:rsid w:val="001D4071"/>
    <w:rsid w:val="00200A5D"/>
    <w:rsid w:val="002174F3"/>
    <w:rsid w:val="0025290B"/>
    <w:rsid w:val="00267D57"/>
    <w:rsid w:val="00296457"/>
    <w:rsid w:val="002B1144"/>
    <w:rsid w:val="002D45EB"/>
    <w:rsid w:val="002E3248"/>
    <w:rsid w:val="00317ABF"/>
    <w:rsid w:val="00323EA3"/>
    <w:rsid w:val="00347D14"/>
    <w:rsid w:val="003524EF"/>
    <w:rsid w:val="0037648F"/>
    <w:rsid w:val="00392DA2"/>
    <w:rsid w:val="00396E61"/>
    <w:rsid w:val="003F11C3"/>
    <w:rsid w:val="003F2735"/>
    <w:rsid w:val="0046146B"/>
    <w:rsid w:val="00501502"/>
    <w:rsid w:val="00513B6D"/>
    <w:rsid w:val="00516064"/>
    <w:rsid w:val="0054770C"/>
    <w:rsid w:val="0058206D"/>
    <w:rsid w:val="005B408B"/>
    <w:rsid w:val="005B566D"/>
    <w:rsid w:val="005D58BB"/>
    <w:rsid w:val="0060015E"/>
    <w:rsid w:val="00601E2A"/>
    <w:rsid w:val="00606623"/>
    <w:rsid w:val="00644FAC"/>
    <w:rsid w:val="00693C57"/>
    <w:rsid w:val="006F6DB0"/>
    <w:rsid w:val="00722F4C"/>
    <w:rsid w:val="00746CD8"/>
    <w:rsid w:val="00756516"/>
    <w:rsid w:val="007A239F"/>
    <w:rsid w:val="007F1933"/>
    <w:rsid w:val="00877977"/>
    <w:rsid w:val="008832AD"/>
    <w:rsid w:val="008969CD"/>
    <w:rsid w:val="008C62CB"/>
    <w:rsid w:val="008D2708"/>
    <w:rsid w:val="00922BA9"/>
    <w:rsid w:val="00993B5E"/>
    <w:rsid w:val="00A27E4B"/>
    <w:rsid w:val="00A33C46"/>
    <w:rsid w:val="00B35826"/>
    <w:rsid w:val="00B745F5"/>
    <w:rsid w:val="00CA4E10"/>
    <w:rsid w:val="00CA7C09"/>
    <w:rsid w:val="00CF54FD"/>
    <w:rsid w:val="00D21F7E"/>
    <w:rsid w:val="00D774CA"/>
    <w:rsid w:val="00DA1F47"/>
    <w:rsid w:val="00DE11B9"/>
    <w:rsid w:val="00DE2D60"/>
    <w:rsid w:val="00E03F07"/>
    <w:rsid w:val="00E17845"/>
    <w:rsid w:val="00E97625"/>
    <w:rsid w:val="00EA088E"/>
    <w:rsid w:val="00F12050"/>
    <w:rsid w:val="00F55372"/>
    <w:rsid w:val="00F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CEBF"/>
  <w15:docId w15:val="{041F3D55-C062-43FB-89B6-7CF70453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firstLine="567"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">
    <w:name w:val="Fonte parág. padrão1"/>
    <w:qFormat/>
  </w:style>
  <w:style w:type="character" w:customStyle="1" w:styleId="RecuodecorpodetextoChar">
    <w:name w:val="Recuo de corpo de texto Char"/>
    <w:qFormat/>
    <w:rPr>
      <w:bCs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qFormat/>
    <w:rsid w:val="00212E19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212E19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212E19"/>
    <w:rPr>
      <w:b/>
      <w:bCs/>
      <w:lang w:eastAsia="zh-CN"/>
    </w:rPr>
  </w:style>
  <w:style w:type="character" w:styleId="Forte">
    <w:name w:val="Strong"/>
    <w:basedOn w:val="Fontepargpadro"/>
    <w:uiPriority w:val="22"/>
    <w:qFormat/>
    <w:rsid w:val="0071162C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  <w:rPr>
      <w:bCs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12E19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212E19"/>
    <w:rPr>
      <w:b/>
      <w:bCs/>
    </w:rPr>
  </w:style>
  <w:style w:type="paragraph" w:customStyle="1" w:styleId="Standard">
    <w:name w:val="Standard"/>
    <w:rsid w:val="00FD00E4"/>
    <w:pPr>
      <w:suppressAutoHyphens/>
      <w:autoSpaceDN w:val="0"/>
      <w:textAlignment w:val="baseline"/>
    </w:pPr>
    <w:rPr>
      <w:rFonts w:ascii="Calibri" w:eastAsia="Calibri" w:hAnsi="Calibri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</vt:lpstr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</dc:title>
  <dc:subject/>
  <dc:creator>PMS</dc:creator>
  <dc:description/>
  <cp:lastModifiedBy>André Mascarenhas</cp:lastModifiedBy>
  <cp:revision>6</cp:revision>
  <cp:lastPrinted>2021-02-02T11:32:00Z</cp:lastPrinted>
  <dcterms:created xsi:type="dcterms:W3CDTF">2021-02-02T14:34:00Z</dcterms:created>
  <dcterms:modified xsi:type="dcterms:W3CDTF">2021-02-23T11:36:00Z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