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371475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 xml:space="preserve">PAUTA </w:t>
      </w:r>
      <w:r>
        <w:rPr>
          <w:b/>
          <w:sz w:val="44"/>
          <w:szCs w:val="44"/>
        </w:rPr>
        <w:t>6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06 de junho</w:t>
      </w:r>
      <w:r>
        <w:rPr>
          <w:b/>
          <w:sz w:val="28"/>
          <w:szCs w:val="28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2024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>
        <w:rPr>
          <w:b/>
          <w:bCs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Aprovação da ata anterior (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Reunião Ordinária – 0</w:t>
      </w:r>
      <w:r>
        <w:rPr>
          <w:sz w:val="28"/>
          <w:szCs w:val="28"/>
        </w:rPr>
        <w:t>2/05/2024</w:t>
      </w:r>
      <w:r>
        <w:rPr>
          <w:sz w:val="28"/>
          <w:szCs w:val="28"/>
        </w:rPr>
        <w:t>)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>
        <w:rPr>
          <w:b/>
          <w:bCs/>
          <w:sz w:val="28"/>
          <w:szCs w:val="28"/>
        </w:rPr>
        <w:t>Secretaria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Tesouraria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omissão de Visitas e Fiscalizações 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</w:rPr>
        <w:t>Visitas realizadas</w:t>
      </w:r>
      <w:r>
        <w:rPr>
          <w:sz w:val="28"/>
          <w:szCs w:val="28"/>
        </w:rPr>
        <w:t xml:space="preserve"> </w:t>
      </w:r>
    </w:p>
    <w:p>
      <w:pPr>
        <w:pStyle w:val="LOnormal"/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/>
      </w:r>
    </w:p>
    <w:p>
      <w:pPr>
        <w:pStyle w:val="LOnormal"/>
        <w:widowControl/>
        <w:suppressAutoHyphens w:val="true"/>
        <w:bidi w:val="0"/>
        <w:spacing w:lineRule="auto" w:line="240" w:before="0" w:after="0"/>
        <w:ind w:left="0" w:right="0" w:hanging="340"/>
        <w:jc w:val="left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 – </w:t>
      </w:r>
      <w:r>
        <w:rPr>
          <w:b/>
          <w:bCs/>
          <w:sz w:val="28"/>
          <w:szCs w:val="28"/>
        </w:rPr>
        <w:t>Comissão de Cadastramento</w:t>
      </w:r>
    </w:p>
    <w:p>
      <w:pPr>
        <w:pStyle w:val="LO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jc w:val="left"/>
        <w:rPr/>
      </w:pPr>
      <w:r>
        <w:rPr>
          <w:sz w:val="28"/>
          <w:szCs w:val="28"/>
        </w:rPr>
        <w:t>Situação atual</w:t>
      </w:r>
    </w:p>
    <w:p>
      <w:pPr>
        <w:pStyle w:val="LO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jc w:val="left"/>
        <w:rPr/>
      </w:pPr>
      <w:r>
        <w:rPr>
          <w:sz w:val="28"/>
          <w:szCs w:val="28"/>
        </w:rPr>
        <w:t>Certificado do cadastro – entrega em julho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6 – </w:t>
      </w:r>
      <w:r>
        <w:rPr>
          <w:b/>
          <w:bCs/>
          <w:sz w:val="28"/>
          <w:szCs w:val="28"/>
        </w:rPr>
        <w:t>Assuntos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erais (Presidente)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Faltas nas reuniões ordinárias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Falta de engajamento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Recursos financeiros futuros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MP como órgão fiscalizador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65"/>
        </w:tabs>
        <w:ind w:left="7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</TotalTime>
  <Application>LibreOffice/7.3.7.2$Windows_X86_64 LibreOffice_project/e114eadc50a9ff8d8c8a0567d6da8f454beeb84f</Application>
  <AppVersion>15.0000</AppVersion>
  <Pages>1</Pages>
  <Words>85</Words>
  <Characters>460</Characters>
  <CharactersWithSpaces>527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2024-03-13T11:36:05Z</cp:lastPrinted>
  <dcterms:modified xsi:type="dcterms:W3CDTF">2024-06-05T15:28:37Z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