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</w:t>
      </w:r>
      <w:r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bCs/>
          <w:sz w:val="28"/>
          <w:szCs w:val="28"/>
          <w:u w:val="single"/>
        </w:rPr>
        <w:t>0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3 de abril de 2025</w:t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Reunião Ordinária)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Reunião com a Defensoria Pública.</w:t>
      </w:r>
    </w:p>
    <w:p>
      <w:pPr>
        <w:pStyle w:val="LOnormal"/>
        <w:spacing w:lineRule="auto" w:line="240" w:before="0" w:after="0"/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/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Conferência: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Junho violeta: 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- montar as comissões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- ver programação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- parcerias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Cadastramento das Instituições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Comissão: Flávia, Eduardo, Tereza, Sr. Marcos e Angela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- programação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LibreOffice/7.3.7.2$Windows_X86_64 LibreOffice_project/e114eadc50a9ff8d8c8a0567d6da8f454beeb84f</Application>
  <AppVersion>15.0000</AppVersion>
  <Pages>1</Pages>
  <Words>91</Words>
  <Characters>470</Characters>
  <CharactersWithSpaces>606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2024-12-04T11:45:56Z</cp:lastPrinted>
  <dcterms:modified xsi:type="dcterms:W3CDTF">2025-03-27T11:19:35Z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