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2</w:t>
      </w:r>
      <w:r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4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setembro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2025</w:t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</w:t>
      </w:r>
      <w:r>
        <w:rPr>
          <w:sz w:val="28"/>
          <w:szCs w:val="28"/>
        </w:rPr>
        <w:t>20</w:t>
      </w:r>
      <w:r>
        <w:rPr>
          <w:sz w:val="28"/>
          <w:szCs w:val="28"/>
        </w:rPr>
        <w:t>ª Reunião Ordinária)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36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 (anexo)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 (anexo)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Comissão organizadora da assembleia de eleição dos representantes da sociedade civil para a gestão 2026-2027 do Conselho Municipal da Pessoa Idosa – composta por 4 conselheiros do poder público.</w:t>
      </w:r>
      <w:r>
        <w:rPr>
          <w:b w:val="false"/>
          <w:sz w:val="28"/>
          <w:szCs w:val="28"/>
        </w:rPr>
        <w:t xml:space="preserve"> 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Projeto: Etarismo na escola – criado a comissão de planejamento: Marlene, Claudia, Fabiana, Flávia, Renata, Simone e Sônia – em tratativas com a Sra Rossenilda </w:t>
      </w:r>
      <w:r>
        <w:rPr>
          <w:b w:val="false"/>
          <w:sz w:val="28"/>
          <w:szCs w:val="28"/>
        </w:rPr>
        <w:t>(Dirigente Regional de Ensino de Sorocaba) e João (assessor).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Conferência Estadual – </w:t>
      </w:r>
      <w:r>
        <w:rPr>
          <w:b w:val="false"/>
          <w:sz w:val="28"/>
          <w:szCs w:val="28"/>
        </w:rPr>
        <w:t>Consulta Pública do Regimento Interno da XVI Conferência Estadual da Pessoa Idosa.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Dados indicadores  - Fevereiro/2025 – Vigilância Socioassistencial – População idosa.</w:t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Edital dos Eixos– Regimento Interno do CMPI – Cartilha da Pessoa Idosa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LibreOffice/7.3.7.2$Windows_X86_64 LibreOffice_project/e114eadc50a9ff8d8c8a0567d6da8f454beeb84f</Application>
  <AppVersion>15.0000</AppVersion>
  <Pages>1</Pages>
  <Words>152</Words>
  <Characters>878</Characters>
  <CharactersWithSpaces>1018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2025-08-07T09:11:34Z</cp:lastPrinted>
  <dcterms:modified xsi:type="dcterms:W3CDTF">2025-09-02T11:27:30Z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